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37735E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FD4EA0" w:rsidRPr="00FD4EA0">
        <w:rPr>
          <w:bCs/>
          <w:noProof w:val="0"/>
          <w:sz w:val="24"/>
          <w:szCs w:val="24"/>
        </w:rPr>
        <w:t>R2-1907194</w:t>
      </w:r>
    </w:p>
    <w:p w14:paraId="11776FA6" w14:textId="53835875"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9DC59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Pr>
          <w:rFonts w:cs="Arial"/>
          <w:b/>
          <w:bCs/>
          <w:sz w:val="24"/>
          <w:lang w:eastAsia="ja-JP"/>
        </w:rPr>
        <w:t>11</w:t>
      </w:r>
      <w:r>
        <w:rPr>
          <w:rFonts w:cs="Arial"/>
          <w:b/>
          <w:bCs/>
          <w:sz w:val="24"/>
          <w:lang w:eastAsia="ja-JP"/>
        </w:rPr>
        <w:t>.</w:t>
      </w:r>
      <w:r w:rsidR="00850467">
        <w:rPr>
          <w:rFonts w:cs="Arial"/>
          <w:b/>
          <w:bCs/>
          <w:sz w:val="24"/>
          <w:lang w:eastAsia="ja-JP"/>
        </w:rPr>
        <w:t>7</w:t>
      </w:r>
      <w:r>
        <w:rPr>
          <w:rFonts w:cs="Arial"/>
          <w:b/>
          <w:bCs/>
          <w:sz w:val="24"/>
          <w:lang w:eastAsia="ja-JP"/>
        </w:rPr>
        <w:t>.</w:t>
      </w:r>
      <w:r w:rsidR="005D4723">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E2159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2DFC">
        <w:rPr>
          <w:rFonts w:ascii="Arial" w:hAnsi="Arial" w:cs="Arial"/>
          <w:b/>
          <w:bCs/>
          <w:sz w:val="24"/>
        </w:rPr>
        <w:t xml:space="preserve">Clarifications </w:t>
      </w:r>
      <w:r w:rsidR="005D4723">
        <w:rPr>
          <w:rFonts w:ascii="Arial" w:hAnsi="Arial" w:cs="Arial"/>
          <w:b/>
          <w:bCs/>
          <w:sz w:val="24"/>
        </w:rPr>
        <w:t>on</w:t>
      </w:r>
      <w:r w:rsidR="00BA1391">
        <w:rPr>
          <w:rFonts w:ascii="Arial" w:hAnsi="Arial" w:cs="Arial"/>
          <w:b/>
          <w:bCs/>
          <w:sz w:val="24"/>
        </w:rPr>
        <w:t xml:space="preserve"> TSC Assistance Information</w:t>
      </w:r>
      <w:r w:rsidR="00202DFC">
        <w:rPr>
          <w:rFonts w:ascii="Arial" w:hAnsi="Arial" w:cs="Arial"/>
          <w:b/>
          <w:bCs/>
          <w:sz w:val="24"/>
        </w:rPr>
        <w:t xml:space="preserve"> </w:t>
      </w:r>
      <w:r w:rsidR="005D4723">
        <w:rPr>
          <w:rFonts w:ascii="Arial" w:hAnsi="Arial" w:cs="Arial"/>
          <w:b/>
          <w:bCs/>
          <w:sz w:val="24"/>
        </w:rPr>
        <w:t>to SA2</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7710E5C" w:rsidR="00A209D6" w:rsidRDefault="001B666E" w:rsidP="00BA1391">
      <w:r>
        <w:t xml:space="preserve">SA2 is still discussing </w:t>
      </w:r>
      <w:r w:rsidR="00202DFC">
        <w:t xml:space="preserve">the contents of </w:t>
      </w:r>
      <w:r w:rsidR="00AE54A9">
        <w:t xml:space="preserve"> </w:t>
      </w:r>
      <w:r w:rsidR="00202DFC">
        <w:t>TSC Assistance Information (TSCAI) and the latest description be found in the CR agreed during SA2#132 meeting in [1] and is copied below for convenience:</w:t>
      </w:r>
    </w:p>
    <w:tbl>
      <w:tblPr>
        <w:tblStyle w:val="TableGrid"/>
        <w:tblW w:w="0" w:type="auto"/>
        <w:tblLook w:val="04A0" w:firstRow="1" w:lastRow="0" w:firstColumn="1" w:lastColumn="0" w:noHBand="0" w:noVBand="1"/>
      </w:tblPr>
      <w:tblGrid>
        <w:gridCol w:w="9631"/>
      </w:tblGrid>
      <w:tr w:rsidR="00202DFC" w14:paraId="4C466153" w14:textId="77777777" w:rsidTr="00202DFC">
        <w:tc>
          <w:tcPr>
            <w:tcW w:w="9631" w:type="dxa"/>
          </w:tcPr>
          <w:p w14:paraId="0CB91EED" w14:textId="77777777" w:rsidR="00202DFC" w:rsidRDefault="00202DFC" w:rsidP="00202DFC">
            <w:pPr>
              <w:pStyle w:val="Heading3"/>
            </w:pPr>
            <w:r>
              <w:t>5.27.2</w:t>
            </w:r>
            <w:r>
              <w:tab/>
              <w:t>TSC Assistance Information (TSCAI)</w:t>
            </w:r>
          </w:p>
          <w:p w14:paraId="34E418C7" w14:textId="77777777" w:rsidR="00202DFC" w:rsidRDefault="00202DFC" w:rsidP="00202DF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w:t>
            </w:r>
            <w:r w:rsidRPr="00596D59">
              <w:t>according to corresponding parameters obtained from the AF</w:t>
            </w:r>
            <w:r>
              <w:t xml:space="preserve">. </w:t>
            </w:r>
            <w:bookmarkStart w:id="0" w:name="_Hlk5736800"/>
            <w:r w:rsidRPr="00202DFC">
              <w:rPr>
                <w:highlight w:val="yellow"/>
              </w:rPr>
              <w:t>The maximum value of TSC Burst Size should be mapped to a 5QI with MDBV that is equal or higher</w:t>
            </w:r>
            <w:r>
              <w:t>.</w:t>
            </w:r>
            <w:bookmarkEnd w:id="0"/>
            <w:r>
              <w:t xml:space="preserve"> </w:t>
            </w:r>
            <w:r>
              <w:rPr>
                <w:color w:val="FF0000"/>
              </w:rPr>
              <w:t xml:space="preserve">For TSC QoS flows, </w:t>
            </w:r>
            <w:r w:rsidRPr="003D00C6">
              <w:t xml:space="preserve">MDBV </w:t>
            </w:r>
            <w:r w:rsidRPr="00202DFC">
              <w:rPr>
                <w:highlight w:val="yellow"/>
              </w:rPr>
              <w:t>(described in clause 5.7.3.7)</w:t>
            </w:r>
            <w:r>
              <w:t xml:space="preserve"> </w:t>
            </w:r>
            <w:r w:rsidRPr="003D00C6">
              <w:t xml:space="preserve">is set to the </w:t>
            </w:r>
            <w:r w:rsidRPr="00202DFC">
              <w:rPr>
                <w:highlight w:val="green"/>
              </w:rPr>
              <w:t>Maximum</w:t>
            </w:r>
            <w:r>
              <w:t xml:space="preserve"> </w:t>
            </w:r>
            <w:r>
              <w:rPr>
                <w:highlight w:val="yellow"/>
              </w:rPr>
              <w:t>Burst</w:t>
            </w:r>
            <w:r w:rsidRPr="003D00C6">
              <w:t xml:space="preserve"> Size</w:t>
            </w:r>
            <w:r>
              <w:t xml:space="preserve"> </w:t>
            </w:r>
            <w:r w:rsidRPr="00202DFC">
              <w:rPr>
                <w:highlight w:val="green"/>
              </w:rPr>
              <w:t>of the aggregated TSC streams to be allocated to this QoS flow</w:t>
            </w:r>
            <w:r w:rsidRPr="003D00C6">
              <w:t>.</w:t>
            </w:r>
            <w:r>
              <w:t xml:space="preserve">  If the AF does not provide a TSC </w:t>
            </w:r>
            <w:r>
              <w:rPr>
                <w:highlight w:val="yellow"/>
              </w:rPr>
              <w:t>Burst</w:t>
            </w:r>
            <w:r>
              <w:t xml:space="preserve"> Size for </w:t>
            </w:r>
            <w:r w:rsidRPr="00202DFC">
              <w:rPr>
                <w:highlight w:val="green"/>
              </w:rPr>
              <w:t>aggregated</w:t>
            </w:r>
            <w:r>
              <w:t xml:space="preserve"> TSC </w:t>
            </w:r>
            <w:r w:rsidRPr="00202DFC">
              <w:rPr>
                <w:highlight w:val="yellow"/>
              </w:rPr>
              <w:t>stream</w:t>
            </w:r>
            <w:r>
              <w:rPr>
                <w:highlight w:val="yellow"/>
              </w:rPr>
              <w:t>s</w:t>
            </w:r>
            <w:r>
              <w:t>, then the MDBV is set to t</w:t>
            </w:r>
            <w:r w:rsidRPr="003D00C6">
              <w:t>he default value for the TSC 5QI</w:t>
            </w:r>
            <w:r>
              <w:t xml:space="preserve"> </w:t>
            </w:r>
            <w:r w:rsidRPr="00202DFC">
              <w:rPr>
                <w:highlight w:val="yellow"/>
              </w:rPr>
              <w:t>of the corresponding traffic class</w:t>
            </w:r>
            <w:r>
              <w:t>.</w:t>
            </w:r>
          </w:p>
          <w:p w14:paraId="2D976A5A" w14:textId="77777777" w:rsidR="00202DFC" w:rsidRDefault="00202DFC" w:rsidP="00202DFC">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6301"/>
            </w:tblGrid>
            <w:tr w:rsidR="00202DFC" w14:paraId="3220C118" w14:textId="77777777" w:rsidTr="005D4723">
              <w:tc>
                <w:tcPr>
                  <w:tcW w:w="3227" w:type="dxa"/>
                  <w:shd w:val="clear" w:color="auto" w:fill="auto"/>
                </w:tcPr>
                <w:p w14:paraId="24D7D34B" w14:textId="77777777" w:rsidR="00202DFC" w:rsidRDefault="00202DFC" w:rsidP="00202DFC">
                  <w:pPr>
                    <w:pStyle w:val="TAH"/>
                  </w:pPr>
                  <w:r>
                    <w:t>Assistance Information</w:t>
                  </w:r>
                </w:p>
              </w:tc>
              <w:tc>
                <w:tcPr>
                  <w:tcW w:w="6630" w:type="dxa"/>
                  <w:shd w:val="clear" w:color="auto" w:fill="auto"/>
                </w:tcPr>
                <w:p w14:paraId="06D19A7F" w14:textId="77777777" w:rsidR="00202DFC" w:rsidRDefault="00202DFC" w:rsidP="00202DFC">
                  <w:pPr>
                    <w:pStyle w:val="TAH"/>
                  </w:pPr>
                  <w:r>
                    <w:t>Description</w:t>
                  </w:r>
                </w:p>
              </w:tc>
            </w:tr>
            <w:tr w:rsidR="00202DFC" w14:paraId="265BBC63" w14:textId="77777777" w:rsidTr="005D4723">
              <w:tc>
                <w:tcPr>
                  <w:tcW w:w="3227" w:type="dxa"/>
                  <w:shd w:val="clear" w:color="auto" w:fill="auto"/>
                </w:tcPr>
                <w:p w14:paraId="2D9C9015" w14:textId="77777777" w:rsidR="00202DFC" w:rsidRDefault="00202DFC" w:rsidP="00202DFC">
                  <w:pPr>
                    <w:pStyle w:val="TAL"/>
                  </w:pPr>
                  <w:r>
                    <w:t>Flow Direction</w:t>
                  </w:r>
                </w:p>
              </w:tc>
              <w:tc>
                <w:tcPr>
                  <w:tcW w:w="6630" w:type="dxa"/>
                  <w:shd w:val="clear" w:color="auto" w:fill="auto"/>
                </w:tcPr>
                <w:p w14:paraId="6A5051B7" w14:textId="77777777" w:rsidR="00202DFC" w:rsidRPr="00CF4975" w:rsidRDefault="00202DFC" w:rsidP="00202DFC">
                  <w:pPr>
                    <w:pStyle w:val="TAL"/>
                  </w:pPr>
                  <w:r>
                    <w:t>The direction of the TSC flow (uplink or downlink)</w:t>
                  </w:r>
                  <w:r w:rsidRPr="000727DE">
                    <w:t>.</w:t>
                  </w:r>
                </w:p>
              </w:tc>
            </w:tr>
            <w:tr w:rsidR="00202DFC" w14:paraId="6DB7B4BC" w14:textId="77777777" w:rsidTr="005D4723">
              <w:tc>
                <w:tcPr>
                  <w:tcW w:w="3227" w:type="dxa"/>
                  <w:shd w:val="clear" w:color="auto" w:fill="auto"/>
                </w:tcPr>
                <w:p w14:paraId="2856F2D0" w14:textId="77777777" w:rsidR="00202DFC" w:rsidRDefault="00202DFC" w:rsidP="00202DFC">
                  <w:pPr>
                    <w:pStyle w:val="TAL"/>
                  </w:pPr>
                  <w:r>
                    <w:t>Periodicity</w:t>
                  </w:r>
                </w:p>
              </w:tc>
              <w:tc>
                <w:tcPr>
                  <w:tcW w:w="6630" w:type="dxa"/>
                  <w:shd w:val="clear" w:color="auto" w:fill="auto"/>
                </w:tcPr>
                <w:p w14:paraId="2AADEF07" w14:textId="77777777" w:rsidR="00202DFC" w:rsidRDefault="00202DFC" w:rsidP="00202DFC">
                  <w:pPr>
                    <w:pStyle w:val="TAL"/>
                  </w:pPr>
                  <w:r>
                    <w:t>It refers to the time period between start of two bursts.</w:t>
                  </w:r>
                </w:p>
              </w:tc>
            </w:tr>
            <w:tr w:rsidR="00202DFC" w14:paraId="1AE2FDF2" w14:textId="77777777" w:rsidTr="005D4723">
              <w:tc>
                <w:tcPr>
                  <w:tcW w:w="3227" w:type="dxa"/>
                  <w:shd w:val="clear" w:color="auto" w:fill="auto"/>
                </w:tcPr>
                <w:p w14:paraId="3B9D7E4B" w14:textId="77777777" w:rsidR="00202DFC" w:rsidRDefault="00202DFC" w:rsidP="00202DFC">
                  <w:pPr>
                    <w:pStyle w:val="TAL"/>
                  </w:pPr>
                  <w:r>
                    <w:t>Burst Arrival time</w:t>
                  </w:r>
                </w:p>
              </w:tc>
              <w:tc>
                <w:tcPr>
                  <w:tcW w:w="6630" w:type="dxa"/>
                  <w:shd w:val="clear" w:color="auto" w:fill="auto"/>
                </w:tcPr>
                <w:p w14:paraId="2402CF9A" w14:textId="77777777" w:rsidR="00202DFC" w:rsidRDefault="00202DFC" w:rsidP="00202DFC">
                  <w:pPr>
                    <w:pStyle w:val="TAL"/>
                  </w:pPr>
                  <w:r>
                    <w:t>The arrival time of the data burst at either the ingress of the RAN (downlink flow direction) or egress interface of the UE (uplink flow direction).</w:t>
                  </w:r>
                </w:p>
              </w:tc>
            </w:tr>
          </w:tbl>
          <w:p w14:paraId="1134ECD5" w14:textId="77777777" w:rsidR="00202DFC" w:rsidRDefault="00202DFC" w:rsidP="00202DFC"/>
          <w:p w14:paraId="366E5888" w14:textId="26EED07B" w:rsidR="00202DFC" w:rsidRDefault="00202DFC" w:rsidP="00202DFC">
            <w:pPr>
              <w:pStyle w:val="EditorsNote"/>
            </w:pPr>
          </w:p>
          <w:p w14:paraId="4247393D" w14:textId="77777777" w:rsidR="00202DFC" w:rsidRPr="00CF4975" w:rsidRDefault="00202DFC" w:rsidP="00202DFC">
            <w:pPr>
              <w:pStyle w:val="EditorsNote"/>
            </w:pPr>
            <w:r>
              <w:t>Editor's note:</w:t>
            </w:r>
            <w:r>
              <w:tab/>
              <w:t>Need for other parameters (e.g. survival time) FFS.</w:t>
            </w:r>
          </w:p>
          <w:p w14:paraId="6D5E0DDA" w14:textId="63B6CBA6" w:rsidR="00202DFC" w:rsidRDefault="00202DFC" w:rsidP="00202DFC">
            <w:pPr>
              <w:pStyle w:val="EditorsNote"/>
            </w:pPr>
            <w:r>
              <w:t>Editor's note:</w:t>
            </w:r>
            <w:r>
              <w:tab/>
              <w:t>Which clock the periodicity and burst arrival time refer to is FFS.</w:t>
            </w:r>
          </w:p>
        </w:tc>
      </w:tr>
    </w:tbl>
    <w:p w14:paraId="17409D04" w14:textId="32C0D0BB" w:rsidR="00202DFC" w:rsidRDefault="00202DFC" w:rsidP="00BA1391"/>
    <w:p w14:paraId="3C9DDAE2" w14:textId="5EA606E0" w:rsidR="00202DFC" w:rsidRDefault="00202DFC" w:rsidP="00BA1391">
      <w:r>
        <w:t xml:space="preserve">Following sub-sections of this document </w:t>
      </w:r>
      <w:proofErr w:type="spellStart"/>
      <w:r>
        <w:t>discusse</w:t>
      </w:r>
      <w:proofErr w:type="spellEnd"/>
      <w:r>
        <w:t xml:space="preserve"> several implications of the design currently being discussed in SA2, namely:</w:t>
      </w:r>
    </w:p>
    <w:p w14:paraId="4171E52C" w14:textId="535CFE1F" w:rsidR="00202DFC" w:rsidRDefault="00202DFC" w:rsidP="00202DFC">
      <w:pPr>
        <w:pStyle w:val="ListParagraph"/>
        <w:numPr>
          <w:ilvl w:val="0"/>
          <w:numId w:val="17"/>
        </w:numPr>
      </w:pPr>
      <w:r>
        <w:t>FFS on which clock the periodicity and burst arrival time refer to</w:t>
      </w:r>
    </w:p>
    <w:p w14:paraId="318DBAC3" w14:textId="2F5AB2E2" w:rsidR="00202DFC" w:rsidRPr="00850467" w:rsidRDefault="00B60B8B" w:rsidP="00202DFC">
      <w:pPr>
        <w:pStyle w:val="ListParagraph"/>
        <w:numPr>
          <w:ilvl w:val="0"/>
          <w:numId w:val="17"/>
        </w:numPr>
      </w:pPr>
      <w:r>
        <w:t>Allowing multiple TSC streams to be mapped to a single QoS flow</w:t>
      </w:r>
    </w:p>
    <w:p w14:paraId="2BBFF540" w14:textId="16A6FB65" w:rsidR="00A209D6" w:rsidRPr="00850467" w:rsidRDefault="00A209D6" w:rsidP="00A209D6">
      <w:pPr>
        <w:pStyle w:val="Heading1"/>
      </w:pPr>
      <w:r w:rsidRPr="00850467">
        <w:t>2</w:t>
      </w:r>
      <w:r w:rsidRPr="00850467">
        <w:tab/>
      </w:r>
      <w:r w:rsidR="00202DFC">
        <w:t>Time reference for TSCAI</w:t>
      </w:r>
    </w:p>
    <w:p w14:paraId="15E5259E" w14:textId="59F621CE" w:rsidR="00B7101D" w:rsidRDefault="00202DFC" w:rsidP="00202DFC">
      <w:r>
        <w:t xml:space="preserve">In an LS to SA2 in [2], RAN2 indicated that </w:t>
      </w:r>
      <w:r w:rsidRPr="00202DFC">
        <w:t xml:space="preserve">message arrival time at </w:t>
      </w:r>
      <w:proofErr w:type="spellStart"/>
      <w:r w:rsidRPr="00202DFC">
        <w:t>gNB</w:t>
      </w:r>
      <w:proofErr w:type="spellEnd"/>
      <w:r w:rsidRPr="00202DFC">
        <w:t xml:space="preserve"> (DL) and UE (UL)</w:t>
      </w:r>
      <w:r>
        <w:t xml:space="preserve"> together </w:t>
      </w:r>
      <w:r w:rsidR="00AC5161">
        <w:t>with</w:t>
      </w:r>
      <w:r>
        <w:t xml:space="preserve"> message periodicity knowledge can be used to assist the scheduler in the </w:t>
      </w:r>
      <w:proofErr w:type="spellStart"/>
      <w:r>
        <w:t>gNB</w:t>
      </w:r>
      <w:proofErr w:type="spellEnd"/>
      <w:r>
        <w:t>.</w:t>
      </w:r>
      <w:r w:rsidR="00B7101D">
        <w:t xml:space="preserve"> RAN2 did not however specify which clock should be used as a time reference for this information. There might be two options:</w:t>
      </w:r>
    </w:p>
    <w:p w14:paraId="527BBA05" w14:textId="6290A36E" w:rsidR="00B7101D" w:rsidRDefault="00B7101D" w:rsidP="00B7101D">
      <w:pPr>
        <w:pStyle w:val="ListParagraph"/>
        <w:numPr>
          <w:ilvl w:val="0"/>
          <w:numId w:val="18"/>
        </w:numPr>
      </w:pPr>
      <w:r>
        <w:lastRenderedPageBreak/>
        <w:t>Message arrival time and periodicity is given with reference to TSN clock domain, which is used for scheduling data of the TSN flow described with TSCAI.</w:t>
      </w:r>
    </w:p>
    <w:p w14:paraId="77711353" w14:textId="0B77E996" w:rsidR="00B7101D" w:rsidRDefault="00B7101D" w:rsidP="00B7101D">
      <w:pPr>
        <w:pStyle w:val="ListParagraph"/>
        <w:numPr>
          <w:ilvl w:val="0"/>
          <w:numId w:val="18"/>
        </w:numPr>
      </w:pPr>
      <w:r>
        <w:t>Message arrival time and periodicity is given with reference to 5G system clock domain.</w:t>
      </w:r>
    </w:p>
    <w:p w14:paraId="1248D452" w14:textId="48B10252" w:rsidR="00B7101D" w:rsidRDefault="00B7101D" w:rsidP="00B7101D">
      <w:r>
        <w:t xml:space="preserve">Since </w:t>
      </w:r>
      <w:proofErr w:type="spellStart"/>
      <w:r>
        <w:t>gNB</w:t>
      </w:r>
      <w:proofErr w:type="spellEnd"/>
      <w:r>
        <w:t xml:space="preserve"> scheduling is always based on 5GS time it might be intuitive to say that 5GS time domain is supposed to be utilized. However, </w:t>
      </w:r>
      <w:r w:rsidR="00AD4107">
        <w:t xml:space="preserve">it should be noted that </w:t>
      </w:r>
      <w:r w:rsidR="00054B71">
        <w:t>the data of the TSN flow will be always generated according to the TSN clock and will arrive to the 3GPP network according to the schedule decided by the control nodes in the TSN network (e.g. CNC).</w:t>
      </w:r>
      <w:r w:rsidR="0026230A">
        <w:t xml:space="preserve"> Since there is always a phenome</w:t>
      </w:r>
      <w:r w:rsidR="006D579E">
        <w:t>non</w:t>
      </w:r>
      <w:r w:rsidR="0026230A">
        <w:t xml:space="preserve"> of clock drift between two non-synchronized clocks, after some time, the time of arrival of the packet to the </w:t>
      </w:r>
      <w:proofErr w:type="spellStart"/>
      <w:r w:rsidR="0026230A">
        <w:t>gNB</w:t>
      </w:r>
      <w:proofErr w:type="spellEnd"/>
      <w:r w:rsidR="0026230A">
        <w:t xml:space="preserve">/UE will differ from the one that is expected by the </w:t>
      </w:r>
      <w:proofErr w:type="spellStart"/>
      <w:r w:rsidR="0026230A">
        <w:t>gNB</w:t>
      </w:r>
      <w:proofErr w:type="spellEnd"/>
      <w:r w:rsidR="0026230A">
        <w:t xml:space="preserve">. </w:t>
      </w:r>
      <w:r w:rsidR="00B44776" w:rsidRPr="00787E9E">
        <w:t>For instance, if frequency offset of TSN GM of stratum-4 class is 32 ppm related to 5G GM, clock drift is 32 µs per second at worst case.</w:t>
      </w:r>
      <w:r w:rsidR="00B44776">
        <w:t xml:space="preserve"> This is almost as much as a symbol duration for SCS=30 kHz meaning that already after one second the SPS/CG occasion would be misaligned with packet arrival time and this misalignment would grow in time</w:t>
      </w:r>
      <w:r w:rsidR="00AC13AF">
        <w:t xml:space="preserve"> and could in consequence lead to unnecessary additional delay or UE missing </w:t>
      </w:r>
      <w:r w:rsidR="00DF7DDD">
        <w:t>its CG occasion</w:t>
      </w:r>
      <w:r w:rsidR="00736AC5" w:rsidRPr="00736AC5">
        <w:t xml:space="preserve"> and not be</w:t>
      </w:r>
      <w:r w:rsidR="00736AC5">
        <w:t>ing</w:t>
      </w:r>
      <w:r w:rsidR="00736AC5" w:rsidRPr="00736AC5">
        <w:t xml:space="preserve"> able to deliver the packet on time</w:t>
      </w:r>
      <w:r w:rsidR="00B44776">
        <w:t>. The issue is presented in Figure 1.</w:t>
      </w:r>
    </w:p>
    <w:p w14:paraId="2B9B2805" w14:textId="7352A9A8" w:rsidR="00B44776" w:rsidRDefault="00295BA8" w:rsidP="00B7101D">
      <w:r>
        <w:object w:dxaOrig="9917" w:dyaOrig="3106" w14:anchorId="07CE4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0.8pt" o:ole="">
            <v:imagedata r:id="rId13" o:title=""/>
          </v:shape>
          <o:OLEObject Type="Embed" ProgID="Visio.Drawing.11" ShapeID="_x0000_i1025" DrawAspect="Content" ObjectID="_1618332795" r:id="rId14"/>
        </w:object>
      </w:r>
    </w:p>
    <w:p w14:paraId="2E5FF20E" w14:textId="1E10F8EA" w:rsidR="0026230A" w:rsidRDefault="00CA541E" w:rsidP="00CA541E">
      <w:pPr>
        <w:jc w:val="center"/>
        <w:rPr>
          <w:b/>
        </w:rPr>
      </w:pPr>
      <w:r>
        <w:rPr>
          <w:b/>
        </w:rPr>
        <w:t>Figure 1 Clock drift impact on SPS/CG scheduling using TSCAI with 5GS clock as a time reference</w:t>
      </w:r>
    </w:p>
    <w:p w14:paraId="0C29F942" w14:textId="4ACA29C3" w:rsidR="00CA541E" w:rsidRDefault="00CA541E" w:rsidP="00CA541E">
      <w:r>
        <w:t>To avoid the issue, in case 5GS time is used as a time reference, the time arrival would have to be updated constantly to account for the clock drift.</w:t>
      </w:r>
    </w:p>
    <w:p w14:paraId="31D4BB11" w14:textId="5AB7732B" w:rsidR="00CA541E" w:rsidRDefault="00CA541E" w:rsidP="00CA541E">
      <w:pPr>
        <w:rPr>
          <w:b/>
        </w:rPr>
      </w:pPr>
      <w:r>
        <w:rPr>
          <w:b/>
        </w:rPr>
        <w:t xml:space="preserve">Observation 1: In case 5GS clock is used as a reference for arrival time and periodicity information provided in TSCAI, TSCAI would have to be constantly updated. </w:t>
      </w:r>
    </w:p>
    <w:p w14:paraId="00CC6881" w14:textId="5B89991F" w:rsidR="00CA541E" w:rsidRDefault="00CA541E" w:rsidP="00CA541E">
      <w:r>
        <w:t xml:space="preserve">This is of course a viable option, but it leads to extensive signalling </w:t>
      </w:r>
      <w:r w:rsidR="00E0766C">
        <w:t>on</w:t>
      </w:r>
      <w:r>
        <w:t xml:space="preserve"> CN to RAN interface.</w:t>
      </w:r>
    </w:p>
    <w:p w14:paraId="2D19CADA" w14:textId="0A8D64A2" w:rsidR="00CA541E" w:rsidRDefault="00CA541E" w:rsidP="00CA541E">
      <w:pPr>
        <w:rPr>
          <w:b/>
        </w:rPr>
      </w:pPr>
      <w:r w:rsidRPr="00CA541E">
        <w:rPr>
          <w:b/>
        </w:rPr>
        <w:t>Observation 2:</w:t>
      </w:r>
      <w:r>
        <w:rPr>
          <w:b/>
        </w:rPr>
        <w:t xml:space="preserve"> Using 5GS clock as a reference for arrival time and periodicity information provided in TSCAI leads to extensive signalling overhead on CN-RAN </w:t>
      </w:r>
      <w:r w:rsidR="00CA72D7">
        <w:rPr>
          <w:b/>
        </w:rPr>
        <w:t>interface</w:t>
      </w:r>
      <w:r>
        <w:rPr>
          <w:b/>
        </w:rPr>
        <w:t>.</w:t>
      </w:r>
    </w:p>
    <w:p w14:paraId="49B03DCE" w14:textId="6838947C" w:rsidR="00FC77AE" w:rsidRDefault="002F46E6" w:rsidP="00CA541E">
      <w:r>
        <w:t xml:space="preserve">Therefore, it would be beneficial </w:t>
      </w:r>
      <w:r w:rsidR="00FC77AE">
        <w:t xml:space="preserve">that TSCAI information is provided in relation to the TSN clock applicable to the TSN flow described by TSCAI information. That would only be useful in case a certain TSN clock is available at the gNB. This is not necessarily required by Solution 28, which was chosen by SA2 as a working assumption. However, there is nothing that would prevent delivering such information </w:t>
      </w:r>
      <w:r w:rsidR="00FD4EA0">
        <w:t xml:space="preserve">to the </w:t>
      </w:r>
      <w:proofErr w:type="spellStart"/>
      <w:r w:rsidR="00FD4EA0">
        <w:t>gNB</w:t>
      </w:r>
      <w:proofErr w:type="spellEnd"/>
      <w:r w:rsidR="00FD4EA0">
        <w:t xml:space="preserve"> </w:t>
      </w:r>
      <w:r w:rsidR="00FC77AE">
        <w:t xml:space="preserve">by </w:t>
      </w:r>
      <w:r w:rsidR="00FD4EA0">
        <w:t>network/</w:t>
      </w:r>
      <w:proofErr w:type="spellStart"/>
      <w:r w:rsidR="00FD4EA0">
        <w:t>gNB</w:t>
      </w:r>
      <w:proofErr w:type="spellEnd"/>
      <w:r w:rsidR="00FD4EA0">
        <w:t xml:space="preserve"> </w:t>
      </w:r>
      <w:r w:rsidR="00FC77AE">
        <w:t>implementation. Therefore</w:t>
      </w:r>
      <w:r w:rsidR="00B354A6">
        <w:t>,</w:t>
      </w:r>
      <w:r w:rsidR="0089319C">
        <w:t xml:space="preserve"> </w:t>
      </w:r>
      <w:r w:rsidR="00FC77AE">
        <w:t>the following is proposed:</w:t>
      </w:r>
    </w:p>
    <w:p w14:paraId="61A1CA52" w14:textId="0A3E83B2" w:rsidR="00FC77AE" w:rsidRDefault="00FC77AE" w:rsidP="00CA541E">
      <w:pPr>
        <w:rPr>
          <w:b/>
        </w:rPr>
      </w:pPr>
      <w:r>
        <w:rPr>
          <w:b/>
        </w:rPr>
        <w:t xml:space="preserve">Proposal 1: RAN2 should inform SA2 that from RAN2 perspective TSCAI information is more useful in case it is provided in relation to TSN clock of the TSN flow described by TSCAI information, in case TSN clock is available in the gNB. </w:t>
      </w:r>
    </w:p>
    <w:p w14:paraId="712C2DC0" w14:textId="35AFB880" w:rsidR="00FC77AE" w:rsidRPr="00FC77AE" w:rsidRDefault="00FC77AE" w:rsidP="00CA541E">
      <w:pPr>
        <w:rPr>
          <w:b/>
        </w:rPr>
      </w:pPr>
      <w:r>
        <w:rPr>
          <w:b/>
        </w:rPr>
        <w:t xml:space="preserve">Proposal 2: </w:t>
      </w:r>
      <w:r w:rsidR="00FD4EA0" w:rsidRPr="00FD4EA0">
        <w:rPr>
          <w:b/>
        </w:rPr>
        <w:t xml:space="preserve">RAN2 should inform SA2 </w:t>
      </w:r>
      <w:r w:rsidR="00FD4EA0">
        <w:rPr>
          <w:b/>
        </w:rPr>
        <w:t>that d</w:t>
      </w:r>
      <w:r w:rsidR="00FD4EA0" w:rsidRPr="00FD4EA0">
        <w:rPr>
          <w:b/>
        </w:rPr>
        <w:t xml:space="preserve">irect connectivity to TSN clock can be available at the </w:t>
      </w:r>
      <w:proofErr w:type="spellStart"/>
      <w:r w:rsidR="00FD4EA0" w:rsidRPr="00FD4EA0">
        <w:rPr>
          <w:b/>
        </w:rPr>
        <w:t>gNB</w:t>
      </w:r>
      <w:proofErr w:type="spellEnd"/>
      <w:r w:rsidR="00FD4EA0" w:rsidRPr="00FD4EA0">
        <w:rPr>
          <w:b/>
        </w:rPr>
        <w:t xml:space="preserve"> based on implementation specific means. </w:t>
      </w:r>
    </w:p>
    <w:p w14:paraId="631B5129" w14:textId="7AB50A98" w:rsidR="00783A66" w:rsidRPr="00850467" w:rsidRDefault="00783A66" w:rsidP="00783A66">
      <w:pPr>
        <w:pStyle w:val="Heading1"/>
      </w:pPr>
      <w:r>
        <w:t>3</w:t>
      </w:r>
      <w:r w:rsidRPr="00850467">
        <w:tab/>
      </w:r>
      <w:r w:rsidR="004773B3">
        <w:t xml:space="preserve">Impacts of aggregating </w:t>
      </w:r>
      <w:r w:rsidR="007B17F9">
        <w:t xml:space="preserve">of multiple TSC streams on a single QoS flow on </w:t>
      </w:r>
      <w:r w:rsidR="00FB0023">
        <w:t>TSCAI</w:t>
      </w:r>
    </w:p>
    <w:p w14:paraId="5DF78EFD" w14:textId="3E038FB4" w:rsidR="006A2760" w:rsidRDefault="006A2760" w:rsidP="00CA541E">
      <w:r>
        <w:t xml:space="preserve">As described in </w:t>
      </w:r>
      <w:r w:rsidR="008835C9">
        <w:t>[1], “</w:t>
      </w:r>
      <w:r w:rsidR="008835C9" w:rsidRPr="008835C9">
        <w:t xml:space="preserve">TSC assistance information, as defined in Table 5.27.2-1, is provided from SMF to 5G-AN, e.g. upon </w:t>
      </w:r>
      <w:r w:rsidR="008835C9" w:rsidRPr="00297021">
        <w:rPr>
          <w:highlight w:val="yellow"/>
        </w:rPr>
        <w:t>QoS flow establishment</w:t>
      </w:r>
      <w:r w:rsidR="008835C9" w:rsidRPr="008835C9">
        <w:t>.</w:t>
      </w:r>
      <w:r w:rsidR="008835C9">
        <w:t>”</w:t>
      </w:r>
      <w:r w:rsidR="00F67C59">
        <w:t xml:space="preserve"> It is also stated that: “</w:t>
      </w:r>
      <w:r w:rsidR="00297021" w:rsidRPr="00297021">
        <w:t xml:space="preserve">For TSC QoS flows, MDBV (described in clause 5.7.3.7) is set to the Maximum Burst Size of the </w:t>
      </w:r>
      <w:r w:rsidR="00297021" w:rsidRPr="00297021">
        <w:rPr>
          <w:highlight w:val="yellow"/>
        </w:rPr>
        <w:t>aggregated TSC streams to be allocated to this QoS flow</w:t>
      </w:r>
      <w:r w:rsidR="00297021" w:rsidRPr="00297021">
        <w:t>.</w:t>
      </w:r>
      <w:r w:rsidR="00297021">
        <w:t xml:space="preserve">” </w:t>
      </w:r>
      <w:r w:rsidR="0053037B">
        <w:t xml:space="preserve">It can be concluded that SA2 </w:t>
      </w:r>
      <w:r w:rsidR="0053037B">
        <w:lastRenderedPageBreak/>
        <w:t xml:space="preserve">is considering </w:t>
      </w:r>
      <w:r w:rsidR="001664A5">
        <w:t xml:space="preserve">mapping of multiple </w:t>
      </w:r>
      <w:r w:rsidR="00C82634">
        <w:t xml:space="preserve">TSC streams to a single QoS flow while it </w:t>
      </w:r>
      <w:r w:rsidR="00A00CB1">
        <w:t xml:space="preserve">is unclear whether TSCAI is to be provided per QoS flow or per </w:t>
      </w:r>
      <w:r w:rsidR="00582925">
        <w:t xml:space="preserve">each TSC stream carried inside the QoS flow. </w:t>
      </w:r>
    </w:p>
    <w:p w14:paraId="29ACCBDA" w14:textId="74C56DBB" w:rsidR="00582925" w:rsidRDefault="00582925" w:rsidP="00CA541E">
      <w:pPr>
        <w:rPr>
          <w:b/>
        </w:rPr>
      </w:pPr>
      <w:r>
        <w:rPr>
          <w:b/>
        </w:rPr>
        <w:t xml:space="preserve">Observation 3: It is unclear whether SA2 intends to provide TSCAI per QoS flow or per each TSC stream aggregated into </w:t>
      </w:r>
      <w:r w:rsidR="00273BC0">
        <w:rPr>
          <w:b/>
        </w:rPr>
        <w:t>a specific QoS flow.</w:t>
      </w:r>
    </w:p>
    <w:p w14:paraId="550F8FB3" w14:textId="56296B09" w:rsidR="00273BC0" w:rsidRDefault="00273BC0" w:rsidP="00CA541E">
      <w:r w:rsidRPr="00E535C7">
        <w:t xml:space="preserve">From RAN perspective, if the </w:t>
      </w:r>
      <w:r>
        <w:t xml:space="preserve">information is to be useful, it needs to be considered per TSC stream as each of </w:t>
      </w:r>
      <w:r w:rsidR="00E535C7">
        <w:t xml:space="preserve">those can have different periodicity or starting time </w:t>
      </w:r>
      <w:r w:rsidR="004A1A66">
        <w:t>or even direction. If the information wss to be provided per some aggregate of TSC streams, it would be unclear how it was supposed to be interpreted in the gNB</w:t>
      </w:r>
      <w:r w:rsidR="009937C2">
        <w:t xml:space="preserve">, e.g. is the periodicity a </w:t>
      </w:r>
      <w:r w:rsidR="001D7547">
        <w:t>c</w:t>
      </w:r>
      <w:r w:rsidR="009937C2">
        <w:t xml:space="preserve">ombined periodicity during which the packets </w:t>
      </w:r>
      <w:r w:rsidR="001D7547">
        <w:t xml:space="preserve">associated to multiple TSC </w:t>
      </w:r>
      <w:r w:rsidR="009937C2">
        <w:t xml:space="preserve">streams </w:t>
      </w:r>
      <w:r w:rsidR="001D7547">
        <w:t xml:space="preserve">repeat? Is the starting time </w:t>
      </w:r>
      <w:r w:rsidR="00C95794">
        <w:t>indicating starting time of such</w:t>
      </w:r>
      <w:r w:rsidR="00F47F5B">
        <w:t xml:space="preserve"> a</w:t>
      </w:r>
      <w:r w:rsidR="00C95794">
        <w:t xml:space="preserve"> burst of packets? Furthermore, even if </w:t>
      </w:r>
      <w:r w:rsidR="00331A10">
        <w:t>those definitions were clarified</w:t>
      </w:r>
      <w:r w:rsidR="003C5586">
        <w:t xml:space="preserve">, such aggregated information would not really be useful as the scheduler input </w:t>
      </w:r>
      <w:r w:rsidR="00972E7A">
        <w:t xml:space="preserve">of the gNB, which would not know when the packets are actually supposed to arrive at RAN (except maybe the first packet of the burst). Thus, we propose to </w:t>
      </w:r>
      <w:r w:rsidR="00D36A66">
        <w:t>clarify with SA2 what their intention is and that from RAN perspective the information is useful only in case it is provided per TSC stream and not the aggregate of those.</w:t>
      </w:r>
    </w:p>
    <w:p w14:paraId="236E2B1A" w14:textId="31E5AD33" w:rsidR="007F35F3" w:rsidRPr="007F35F3" w:rsidRDefault="007F35F3" w:rsidP="00CA541E">
      <w:pPr>
        <w:rPr>
          <w:b/>
        </w:rPr>
      </w:pPr>
      <w:r>
        <w:rPr>
          <w:b/>
        </w:rPr>
        <w:t xml:space="preserve">Proposal </w:t>
      </w:r>
      <w:r w:rsidR="00D2634B">
        <w:rPr>
          <w:b/>
        </w:rPr>
        <w:t>3</w:t>
      </w:r>
      <w:r>
        <w:rPr>
          <w:b/>
        </w:rPr>
        <w:t xml:space="preserve">: Inform SA2 that </w:t>
      </w:r>
      <w:proofErr w:type="gramStart"/>
      <w:r>
        <w:rPr>
          <w:b/>
        </w:rPr>
        <w:t>in order to</w:t>
      </w:r>
      <w:proofErr w:type="gramEnd"/>
      <w:r>
        <w:rPr>
          <w:b/>
        </w:rPr>
        <w:t xml:space="preserve"> be able to utilize TSCAI, RAN needs to know </w:t>
      </w:r>
      <w:r w:rsidR="00CF3302">
        <w:rPr>
          <w:b/>
        </w:rPr>
        <w:t>TSCAI</w:t>
      </w:r>
      <w:r>
        <w:rPr>
          <w:b/>
        </w:rPr>
        <w:t xml:space="preserve"> per TSC stream. Clarify that a single set of </w:t>
      </w:r>
      <w:r w:rsidR="009544B7">
        <w:rPr>
          <w:b/>
        </w:rPr>
        <w:t xml:space="preserve">TSCAI </w:t>
      </w:r>
      <w:r>
        <w:rPr>
          <w:b/>
        </w:rPr>
        <w:t xml:space="preserve">values per QoS flow which aggregates multiple TSC streams is not </w:t>
      </w:r>
      <w:proofErr w:type="gramStart"/>
      <w:r>
        <w:rPr>
          <w:b/>
        </w:rPr>
        <w:t>sufficient</w:t>
      </w:r>
      <w:proofErr w:type="gramEnd"/>
      <w:r w:rsidR="00264EDC">
        <w:rPr>
          <w:b/>
        </w:rPr>
        <w:t xml:space="preserve"> for RAN to make use of it</w:t>
      </w:r>
      <w:r>
        <w:rPr>
          <w:b/>
        </w:rPr>
        <w:t>.</w:t>
      </w:r>
    </w:p>
    <w:p w14:paraId="766D6D29" w14:textId="667382E1" w:rsidR="00A209D6" w:rsidRPr="006E13D1" w:rsidRDefault="00783A66" w:rsidP="00A209D6">
      <w:pPr>
        <w:pStyle w:val="Heading1"/>
      </w:pPr>
      <w:r>
        <w:t>4</w:t>
      </w:r>
      <w:r w:rsidR="00A209D6" w:rsidRPr="006E13D1">
        <w:tab/>
      </w:r>
      <w:r w:rsidR="003D6243">
        <w:t>Summary</w:t>
      </w:r>
    </w:p>
    <w:p w14:paraId="1E8991F2" w14:textId="53324CBA" w:rsidR="00D60162" w:rsidRDefault="001F0BAA" w:rsidP="00D60162">
      <w:r>
        <w:t>This contribution discussed impact of the TSCAI definition as currently agreed by SA2 on RAN. The following is observed:</w:t>
      </w:r>
    </w:p>
    <w:p w14:paraId="394F8557" w14:textId="77777777" w:rsidR="0027003B" w:rsidRDefault="0027003B" w:rsidP="0027003B">
      <w:pPr>
        <w:rPr>
          <w:b/>
        </w:rPr>
      </w:pPr>
      <w:r>
        <w:rPr>
          <w:b/>
        </w:rPr>
        <w:t xml:space="preserve">Observation 1: In case 5GS clock is used as a reference for arrival time and periodicity information provided in TSCAI, TSCAI would have to be constantly updated. </w:t>
      </w:r>
    </w:p>
    <w:p w14:paraId="3ABB2DED" w14:textId="77777777" w:rsidR="0027003B" w:rsidRDefault="0027003B" w:rsidP="0027003B">
      <w:pPr>
        <w:rPr>
          <w:b/>
        </w:rPr>
      </w:pPr>
      <w:r w:rsidRPr="00CA541E">
        <w:rPr>
          <w:b/>
        </w:rPr>
        <w:t>Observation 2:</w:t>
      </w:r>
      <w:r>
        <w:rPr>
          <w:b/>
        </w:rPr>
        <w:t xml:space="preserve"> Using 5GS clock as a reference for arrival time and periodicity information provided in TSCAI leads to extensive signalling overhead on CN-RAN interface.</w:t>
      </w:r>
    </w:p>
    <w:p w14:paraId="27053D87" w14:textId="77777777" w:rsidR="001F0BAA" w:rsidRDefault="001F0BAA" w:rsidP="001F0BAA">
      <w:pPr>
        <w:rPr>
          <w:b/>
        </w:rPr>
      </w:pPr>
      <w:r>
        <w:rPr>
          <w:b/>
        </w:rPr>
        <w:t>Observation 3: It is unclear whether SA2 intends to provide TSCAI per QoS flow or per each TSC stream aggregated into a specific QoS flow.</w:t>
      </w:r>
    </w:p>
    <w:p w14:paraId="5C27994D" w14:textId="183B20E6" w:rsidR="001F0BAA" w:rsidRDefault="001F0BAA" w:rsidP="00D60162">
      <w:r>
        <w:t>Based on these observations</w:t>
      </w:r>
      <w:r w:rsidR="00856BA4">
        <w:t>, it is proposed to agree the following and send an LS to SA2 to clarify RAN2 viewpoint on the discussed issues related to TSCAI:</w:t>
      </w:r>
    </w:p>
    <w:p w14:paraId="0CDD54A8" w14:textId="77777777" w:rsidR="00D41BDA" w:rsidRDefault="00D41BDA" w:rsidP="00D41BDA">
      <w:pPr>
        <w:rPr>
          <w:b/>
        </w:rPr>
      </w:pPr>
      <w:r>
        <w:rPr>
          <w:b/>
        </w:rPr>
        <w:t xml:space="preserve">Proposal 1: RAN2 should inform SA2 that from RAN2 perspective TSCAI information is more useful in case it is provided in relation to TSN clock of the TSN flow described by TSCAI information, in case TSN clock is available in the </w:t>
      </w:r>
      <w:proofErr w:type="spellStart"/>
      <w:r>
        <w:rPr>
          <w:b/>
        </w:rPr>
        <w:t>gNB</w:t>
      </w:r>
      <w:proofErr w:type="spellEnd"/>
      <w:r>
        <w:rPr>
          <w:b/>
        </w:rPr>
        <w:t xml:space="preserve">. </w:t>
      </w:r>
    </w:p>
    <w:p w14:paraId="2205713F" w14:textId="77777777" w:rsidR="00D41BDA" w:rsidRPr="00FC77AE" w:rsidRDefault="00D41BDA" w:rsidP="00D41BDA">
      <w:pPr>
        <w:rPr>
          <w:b/>
        </w:rPr>
      </w:pPr>
      <w:r>
        <w:rPr>
          <w:b/>
        </w:rPr>
        <w:t xml:space="preserve">Proposal 2: </w:t>
      </w:r>
      <w:r w:rsidRPr="00FD4EA0">
        <w:rPr>
          <w:b/>
        </w:rPr>
        <w:t xml:space="preserve">RAN2 should inform SA2 </w:t>
      </w:r>
      <w:r>
        <w:rPr>
          <w:b/>
        </w:rPr>
        <w:t>that d</w:t>
      </w:r>
      <w:r w:rsidRPr="00FD4EA0">
        <w:rPr>
          <w:b/>
        </w:rPr>
        <w:t xml:space="preserve">irect connectivity to TSN clock can be available at the </w:t>
      </w:r>
      <w:proofErr w:type="spellStart"/>
      <w:r w:rsidRPr="00FD4EA0">
        <w:rPr>
          <w:b/>
        </w:rPr>
        <w:t>gNB</w:t>
      </w:r>
      <w:proofErr w:type="spellEnd"/>
      <w:r w:rsidRPr="00FD4EA0">
        <w:rPr>
          <w:b/>
        </w:rPr>
        <w:t xml:space="preserve"> based on implementation specific means. </w:t>
      </w:r>
    </w:p>
    <w:p w14:paraId="45D64AEA" w14:textId="77777777" w:rsidR="00D41BDA" w:rsidRPr="007F35F3" w:rsidRDefault="00D41BDA" w:rsidP="00D41BDA">
      <w:pPr>
        <w:rPr>
          <w:b/>
        </w:rPr>
      </w:pPr>
      <w:r>
        <w:rPr>
          <w:b/>
        </w:rPr>
        <w:t xml:space="preserve">Proposal 3: Inform SA2 that </w:t>
      </w:r>
      <w:proofErr w:type="gramStart"/>
      <w:r>
        <w:rPr>
          <w:b/>
        </w:rPr>
        <w:t>in order to</w:t>
      </w:r>
      <w:proofErr w:type="gramEnd"/>
      <w:r>
        <w:rPr>
          <w:b/>
        </w:rPr>
        <w:t xml:space="preserve"> be able to utilize TSCAI, RAN needs to know TSCAI per TSC stream. Clarify that a single set of TSCAI values per QoS flow which aggregates multiple TSC streams is not </w:t>
      </w:r>
      <w:proofErr w:type="gramStart"/>
      <w:r>
        <w:rPr>
          <w:b/>
        </w:rPr>
        <w:t>sufficient</w:t>
      </w:r>
      <w:proofErr w:type="gramEnd"/>
      <w:r>
        <w:rPr>
          <w:b/>
        </w:rPr>
        <w:t xml:space="preserve"> for RAN to make use of it.</w:t>
      </w:r>
    </w:p>
    <w:p w14:paraId="2F69E688" w14:textId="4BB6552F" w:rsidR="00856BA4" w:rsidRPr="006C04F0" w:rsidRDefault="00856BA4" w:rsidP="00D60162">
      <w:bookmarkStart w:id="1" w:name="_GoBack"/>
      <w:bookmarkEnd w:id="1"/>
      <w:r>
        <w:t>The draft LS to SA</w:t>
      </w:r>
      <w:r w:rsidR="00FD4EA0">
        <w:t>2</w:t>
      </w:r>
      <w:r>
        <w:t xml:space="preserve"> is provided in [3].</w:t>
      </w:r>
    </w:p>
    <w:p w14:paraId="5FF2457F" w14:textId="0CC7EB30" w:rsidR="00A209D6" w:rsidRPr="00D60162" w:rsidRDefault="003D6243" w:rsidP="00D60162">
      <w:pPr>
        <w:pStyle w:val="Heading1"/>
      </w:pPr>
      <w:r>
        <w:t>References</w:t>
      </w:r>
    </w:p>
    <w:p w14:paraId="432B0A82" w14:textId="77684F3E" w:rsidR="00A209D6" w:rsidRDefault="00202DFC" w:rsidP="00202DFC">
      <w:pPr>
        <w:pStyle w:val="ListParagraph"/>
        <w:numPr>
          <w:ilvl w:val="0"/>
          <w:numId w:val="11"/>
        </w:numPr>
      </w:pPr>
      <w:r w:rsidRPr="00202DFC">
        <w:t>S2-1904622</w:t>
      </w:r>
      <w:r>
        <w:t xml:space="preserve">, </w:t>
      </w:r>
      <w:r w:rsidRPr="00202DFC">
        <w:rPr>
          <w:i/>
        </w:rPr>
        <w:t>Update to Support TSAI for TSC Deterministic QoS</w:t>
      </w:r>
      <w:r>
        <w:t xml:space="preserve">, </w:t>
      </w:r>
      <w:r w:rsidRPr="00202DFC">
        <w:t>Nokia, Nokia Shanghai Bell</w:t>
      </w:r>
    </w:p>
    <w:p w14:paraId="35F222F4" w14:textId="0B689B3A" w:rsidR="00080512" w:rsidRDefault="00202DFC" w:rsidP="00A209D6">
      <w:pPr>
        <w:pStyle w:val="ListParagraph"/>
        <w:numPr>
          <w:ilvl w:val="0"/>
          <w:numId w:val="11"/>
        </w:numPr>
      </w:pPr>
      <w:r w:rsidRPr="00202DFC">
        <w:t>R2-1902354</w:t>
      </w:r>
      <w:r>
        <w:t xml:space="preserve">, </w:t>
      </w:r>
      <w:r w:rsidRPr="00202DFC">
        <w:rPr>
          <w:i/>
        </w:rPr>
        <w:t>LS on assistance information for TSN traffic flows</w:t>
      </w:r>
      <w:r>
        <w:t>, Source: RAN2</w:t>
      </w:r>
    </w:p>
    <w:p w14:paraId="4717A48F" w14:textId="724AC250" w:rsidR="00856BA4" w:rsidRPr="00D60162" w:rsidRDefault="00FD4EA0" w:rsidP="00A209D6">
      <w:pPr>
        <w:pStyle w:val="ListParagraph"/>
        <w:numPr>
          <w:ilvl w:val="0"/>
          <w:numId w:val="11"/>
        </w:numPr>
      </w:pPr>
      <w:r w:rsidRPr="00FD4EA0">
        <w:t>R2-1907195</w:t>
      </w:r>
      <w:r w:rsidR="00856BA4">
        <w:t xml:space="preserve">, </w:t>
      </w:r>
      <w:r w:rsidR="00BA420C">
        <w:rPr>
          <w:i/>
        </w:rPr>
        <w:t>[</w:t>
      </w:r>
      <w:r w:rsidR="00856BA4">
        <w:rPr>
          <w:i/>
        </w:rPr>
        <w:t>Draft</w:t>
      </w:r>
      <w:r w:rsidR="00BA420C">
        <w:rPr>
          <w:i/>
        </w:rPr>
        <w:t>]</w:t>
      </w:r>
      <w:r w:rsidR="00856BA4">
        <w:rPr>
          <w:i/>
        </w:rPr>
        <w:t xml:space="preserve"> LS to SA2 on </w:t>
      </w:r>
      <w:r w:rsidR="00BA420C">
        <w:rPr>
          <w:i/>
        </w:rPr>
        <w:t>remaining TSCAI aspects</w:t>
      </w:r>
      <w:r w:rsidR="002B07F0">
        <w:rPr>
          <w:i/>
        </w:rPr>
        <w:t xml:space="preserve">, </w:t>
      </w:r>
      <w:r w:rsidR="002B07F0">
        <w:t>Nokia, Nokia Shanghai Bell</w:t>
      </w:r>
    </w:p>
    <w:sectPr w:rsidR="00856BA4" w:rsidRPr="00D601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A1520" w14:textId="77777777" w:rsidR="005D4723" w:rsidRDefault="005D4723">
      <w:r>
        <w:separator/>
      </w:r>
    </w:p>
  </w:endnote>
  <w:endnote w:type="continuationSeparator" w:id="0">
    <w:p w14:paraId="08B1406A" w14:textId="77777777" w:rsidR="005D4723" w:rsidRDefault="005D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D4723" w:rsidRDefault="005D47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D4723" w:rsidRDefault="005D47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D4723" w:rsidRDefault="005D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B1717" w14:textId="77777777" w:rsidR="005D4723" w:rsidRDefault="005D4723">
      <w:r>
        <w:separator/>
      </w:r>
    </w:p>
  </w:footnote>
  <w:footnote w:type="continuationSeparator" w:id="0">
    <w:p w14:paraId="6F52DEBB" w14:textId="77777777" w:rsidR="005D4723" w:rsidRDefault="005D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D4723" w:rsidRDefault="005D4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D4723" w:rsidRDefault="005D4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D4723" w:rsidRDefault="005D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2"/>
  </w:num>
  <w:num w:numId="9">
    <w:abstractNumId w:val="15"/>
  </w:num>
  <w:num w:numId="10">
    <w:abstractNumId w:val="4"/>
  </w:num>
  <w:num w:numId="11">
    <w:abstractNumId w:val="11"/>
  </w:num>
  <w:num w:numId="12">
    <w:abstractNumId w:val="3"/>
  </w:num>
  <w:num w:numId="13">
    <w:abstractNumId w:val="5"/>
  </w:num>
  <w:num w:numId="14">
    <w:abstractNumId w:val="12"/>
  </w:num>
  <w:num w:numId="15">
    <w:abstractNumId w:val="14"/>
  </w:num>
  <w:num w:numId="16">
    <w:abstractNumId w:val="14"/>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33397"/>
    <w:rsid w:val="00040095"/>
    <w:rsid w:val="00054B71"/>
    <w:rsid w:val="00073C9C"/>
    <w:rsid w:val="00080512"/>
    <w:rsid w:val="00090468"/>
    <w:rsid w:val="00094568"/>
    <w:rsid w:val="000A0E6B"/>
    <w:rsid w:val="000B7BCF"/>
    <w:rsid w:val="000C522B"/>
    <w:rsid w:val="000D58AB"/>
    <w:rsid w:val="00112F1A"/>
    <w:rsid w:val="001271D4"/>
    <w:rsid w:val="00141E89"/>
    <w:rsid w:val="00145075"/>
    <w:rsid w:val="001664A5"/>
    <w:rsid w:val="001741A0"/>
    <w:rsid w:val="00175FA0"/>
    <w:rsid w:val="00194CD0"/>
    <w:rsid w:val="001B49C9"/>
    <w:rsid w:val="001B666E"/>
    <w:rsid w:val="001B6F52"/>
    <w:rsid w:val="001C4F79"/>
    <w:rsid w:val="001D5EF4"/>
    <w:rsid w:val="001D7547"/>
    <w:rsid w:val="001F0BAA"/>
    <w:rsid w:val="001F168B"/>
    <w:rsid w:val="001F49DF"/>
    <w:rsid w:val="001F7831"/>
    <w:rsid w:val="00202DFC"/>
    <w:rsid w:val="00204045"/>
    <w:rsid w:val="0020712B"/>
    <w:rsid w:val="0022606D"/>
    <w:rsid w:val="00231728"/>
    <w:rsid w:val="002610D8"/>
    <w:rsid w:val="0026230A"/>
    <w:rsid w:val="00264EDC"/>
    <w:rsid w:val="0027003B"/>
    <w:rsid w:val="00273BC0"/>
    <w:rsid w:val="002747EC"/>
    <w:rsid w:val="002855BF"/>
    <w:rsid w:val="00295BA8"/>
    <w:rsid w:val="002964CB"/>
    <w:rsid w:val="00297021"/>
    <w:rsid w:val="002B07F0"/>
    <w:rsid w:val="002F0D22"/>
    <w:rsid w:val="002F46E6"/>
    <w:rsid w:val="003172DC"/>
    <w:rsid w:val="00325AE3"/>
    <w:rsid w:val="00326069"/>
    <w:rsid w:val="00331A10"/>
    <w:rsid w:val="0035462D"/>
    <w:rsid w:val="00364B41"/>
    <w:rsid w:val="00383096"/>
    <w:rsid w:val="003A41EF"/>
    <w:rsid w:val="003B40AD"/>
    <w:rsid w:val="003C4E37"/>
    <w:rsid w:val="003C5586"/>
    <w:rsid w:val="003D6243"/>
    <w:rsid w:val="003E16BE"/>
    <w:rsid w:val="003F4E28"/>
    <w:rsid w:val="004006E8"/>
    <w:rsid w:val="00401855"/>
    <w:rsid w:val="00465587"/>
    <w:rsid w:val="004773B3"/>
    <w:rsid w:val="00477455"/>
    <w:rsid w:val="004A1A66"/>
    <w:rsid w:val="004A1F7B"/>
    <w:rsid w:val="004C44D2"/>
    <w:rsid w:val="004D3578"/>
    <w:rsid w:val="004D380D"/>
    <w:rsid w:val="004D3FE5"/>
    <w:rsid w:val="004E213A"/>
    <w:rsid w:val="00503171"/>
    <w:rsid w:val="00506C28"/>
    <w:rsid w:val="0053037B"/>
    <w:rsid w:val="00534DA0"/>
    <w:rsid w:val="00543E6C"/>
    <w:rsid w:val="00565087"/>
    <w:rsid w:val="0056573F"/>
    <w:rsid w:val="0058151E"/>
    <w:rsid w:val="00582925"/>
    <w:rsid w:val="005D4723"/>
    <w:rsid w:val="00611566"/>
    <w:rsid w:val="00646D99"/>
    <w:rsid w:val="00656910"/>
    <w:rsid w:val="006802B7"/>
    <w:rsid w:val="006807E2"/>
    <w:rsid w:val="006A2760"/>
    <w:rsid w:val="006C04F0"/>
    <w:rsid w:val="006C66D8"/>
    <w:rsid w:val="006D1E24"/>
    <w:rsid w:val="006D579E"/>
    <w:rsid w:val="006E1417"/>
    <w:rsid w:val="006F6A2C"/>
    <w:rsid w:val="00710201"/>
    <w:rsid w:val="0072073A"/>
    <w:rsid w:val="007342B5"/>
    <w:rsid w:val="00734A5B"/>
    <w:rsid w:val="00736AC5"/>
    <w:rsid w:val="00744E76"/>
    <w:rsid w:val="00757D40"/>
    <w:rsid w:val="00781F0F"/>
    <w:rsid w:val="00783A66"/>
    <w:rsid w:val="0078727C"/>
    <w:rsid w:val="0079049D"/>
    <w:rsid w:val="00793DC5"/>
    <w:rsid w:val="007B17F9"/>
    <w:rsid w:val="007B18D8"/>
    <w:rsid w:val="007C095F"/>
    <w:rsid w:val="007C2DD0"/>
    <w:rsid w:val="007F35F3"/>
    <w:rsid w:val="00801B36"/>
    <w:rsid w:val="008028A4"/>
    <w:rsid w:val="00813245"/>
    <w:rsid w:val="00850467"/>
    <w:rsid w:val="00856BA4"/>
    <w:rsid w:val="008768CA"/>
    <w:rsid w:val="00877EF9"/>
    <w:rsid w:val="00880559"/>
    <w:rsid w:val="008835C9"/>
    <w:rsid w:val="0089319C"/>
    <w:rsid w:val="008B5306"/>
    <w:rsid w:val="008C70B1"/>
    <w:rsid w:val="008D2E4D"/>
    <w:rsid w:val="008F396F"/>
    <w:rsid w:val="0090271F"/>
    <w:rsid w:val="00902DB9"/>
    <w:rsid w:val="00903F37"/>
    <w:rsid w:val="0090466A"/>
    <w:rsid w:val="00926C52"/>
    <w:rsid w:val="00936071"/>
    <w:rsid w:val="00940212"/>
    <w:rsid w:val="00942EC2"/>
    <w:rsid w:val="009544B7"/>
    <w:rsid w:val="00961B32"/>
    <w:rsid w:val="00962509"/>
    <w:rsid w:val="00970DB3"/>
    <w:rsid w:val="00972E7A"/>
    <w:rsid w:val="00974BB0"/>
    <w:rsid w:val="009937C2"/>
    <w:rsid w:val="009A0AF3"/>
    <w:rsid w:val="009B07CD"/>
    <w:rsid w:val="009C19E9"/>
    <w:rsid w:val="009D74A6"/>
    <w:rsid w:val="00A00CB1"/>
    <w:rsid w:val="00A10F02"/>
    <w:rsid w:val="00A204CA"/>
    <w:rsid w:val="00A209D6"/>
    <w:rsid w:val="00A53724"/>
    <w:rsid w:val="00A54B2B"/>
    <w:rsid w:val="00A82346"/>
    <w:rsid w:val="00A9671C"/>
    <w:rsid w:val="00AA1553"/>
    <w:rsid w:val="00AC13AF"/>
    <w:rsid w:val="00AC5161"/>
    <w:rsid w:val="00AD4107"/>
    <w:rsid w:val="00AE54A9"/>
    <w:rsid w:val="00B018C5"/>
    <w:rsid w:val="00B05380"/>
    <w:rsid w:val="00B05962"/>
    <w:rsid w:val="00B15449"/>
    <w:rsid w:val="00B16C2F"/>
    <w:rsid w:val="00B27303"/>
    <w:rsid w:val="00B342E7"/>
    <w:rsid w:val="00B354A6"/>
    <w:rsid w:val="00B44776"/>
    <w:rsid w:val="00B47FD1"/>
    <w:rsid w:val="00B516BB"/>
    <w:rsid w:val="00B60B8B"/>
    <w:rsid w:val="00B7101D"/>
    <w:rsid w:val="00B84DB2"/>
    <w:rsid w:val="00BA1391"/>
    <w:rsid w:val="00BA420C"/>
    <w:rsid w:val="00BA56BE"/>
    <w:rsid w:val="00BC3555"/>
    <w:rsid w:val="00C12B51"/>
    <w:rsid w:val="00C24650"/>
    <w:rsid w:val="00C25465"/>
    <w:rsid w:val="00C33079"/>
    <w:rsid w:val="00C56182"/>
    <w:rsid w:val="00C82634"/>
    <w:rsid w:val="00C83A13"/>
    <w:rsid w:val="00C9068C"/>
    <w:rsid w:val="00C92967"/>
    <w:rsid w:val="00C95794"/>
    <w:rsid w:val="00CA3D0C"/>
    <w:rsid w:val="00CA541E"/>
    <w:rsid w:val="00CA654B"/>
    <w:rsid w:val="00CA72D7"/>
    <w:rsid w:val="00CB72B8"/>
    <w:rsid w:val="00CD4C7B"/>
    <w:rsid w:val="00CF3302"/>
    <w:rsid w:val="00D2634B"/>
    <w:rsid w:val="00D33BE3"/>
    <w:rsid w:val="00D36A66"/>
    <w:rsid w:val="00D3792D"/>
    <w:rsid w:val="00D41BDA"/>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DF7DDD"/>
    <w:rsid w:val="00E0766C"/>
    <w:rsid w:val="00E46C08"/>
    <w:rsid w:val="00E471CF"/>
    <w:rsid w:val="00E535C7"/>
    <w:rsid w:val="00E62835"/>
    <w:rsid w:val="00E77645"/>
    <w:rsid w:val="00E83697"/>
    <w:rsid w:val="00EA66C9"/>
    <w:rsid w:val="00EC4A25"/>
    <w:rsid w:val="00ED4898"/>
    <w:rsid w:val="00F025A2"/>
    <w:rsid w:val="00F07388"/>
    <w:rsid w:val="00F2026E"/>
    <w:rsid w:val="00F2210A"/>
    <w:rsid w:val="00F37743"/>
    <w:rsid w:val="00F47F5B"/>
    <w:rsid w:val="00F54A3D"/>
    <w:rsid w:val="00F54CB0"/>
    <w:rsid w:val="00F653B8"/>
    <w:rsid w:val="00F67C59"/>
    <w:rsid w:val="00F71B89"/>
    <w:rsid w:val="00F7353C"/>
    <w:rsid w:val="00F76F8F"/>
    <w:rsid w:val="00F866A6"/>
    <w:rsid w:val="00F941DF"/>
    <w:rsid w:val="00FA1266"/>
    <w:rsid w:val="00FB0023"/>
    <w:rsid w:val="00FB36FA"/>
    <w:rsid w:val="00FC1192"/>
    <w:rsid w:val="00FC77AE"/>
    <w:rsid w:val="00FD4EA0"/>
    <w:rsid w:val="00FE251B"/>
    <w:rsid w:val="00FE51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rsid w:val="00202DF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5AIRPNAIUNRU-859666464-5131</_dlc_DocId>
    <_dlc_DocIdUrl xmlns="71c5aaf6-e6ce-465b-b873-5148d2a4c105">
      <Url>https://nokia.sharepoint.com/sites/c5g/e2earch/_layouts/15/DocIdRedir.aspx?ID=5AIRPNAIUNRU-859666464-5131</Url>
      <Description>5AIRPNAIUNRU-859666464-5131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71c5aaf6-e6ce-465b-b873-5148d2a4c105"/>
    <ds:schemaRef ds:uri="http://purl.org/dc/elements/1.1/"/>
    <ds:schemaRef ds:uri="a3840f4f-04be-43d1-b2ef-6ff1382503c7"/>
    <ds:schemaRef ds:uri="http://www.w3.org/XML/1998/namespace"/>
    <ds:schemaRef ds:uri="3b34c8f0-1ef5-4d1e-bb66-517ce7fe7356"/>
    <ds:schemaRef ds:uri="http://schemas.microsoft.com/office/2006/documentManagement/types"/>
    <ds:schemaRef ds:uri="http://schemas.microsoft.com/office/2006/metadata/properties"/>
    <ds:schemaRef ds:uri="http://purl.org/dc/dcmitype/"/>
    <ds:schemaRef ds:uri="83f22d2f-d16e-4be6-ad4f-29fa0b067c3c"/>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572342-28A3-459E-8D40-A22D5CA0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1027</TotalTime>
  <Pages>3</Pages>
  <Words>1561</Words>
  <Characters>7570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107</cp:revision>
  <dcterms:created xsi:type="dcterms:W3CDTF">2016-08-12T03:53:00Z</dcterms:created>
  <dcterms:modified xsi:type="dcterms:W3CDTF">2019-05-02T18:07:00Z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10bb7d67-22f8-4524-9a40-90392926df21</vt:lpwstr>
  </property>
</Properties>
</file>